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B578" w14:textId="77777777" w:rsidR="009D7C9F" w:rsidRDefault="009D7C9F">
      <w:pPr>
        <w:pStyle w:val="Titre1"/>
        <w:rPr>
          <w:lang w:val="fr-FR"/>
        </w:rPr>
      </w:pPr>
      <w:r w:rsidRPr="00DF7AA4">
        <w:rPr>
          <w:lang w:val="fr-FR"/>
        </w:rPr>
        <w:t>TRAME DU MÉMOIRE TECHNIQUE – DSP BOUTIQUE HOSPITALIÈRE</w:t>
      </w:r>
    </w:p>
    <w:p w14:paraId="257D12F5" w14:textId="77777777" w:rsidR="00DB10CC" w:rsidRPr="00DB10CC" w:rsidRDefault="00DB10CC" w:rsidP="00DB10CC">
      <w:pPr>
        <w:rPr>
          <w:lang w:val="fr-FR"/>
        </w:rPr>
      </w:pPr>
    </w:p>
    <w:p w14:paraId="356397EA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1. Présentation générale de l’exploitation</w:t>
      </w:r>
    </w:p>
    <w:p w14:paraId="26A6C781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Présentation synthétique du candidat, compréhension du contexte hospitalier et du périmètre de la DSP.</w:t>
      </w:r>
    </w:p>
    <w:p w14:paraId="7D3D96F3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2. Organisation générale de l’exploitation</w:t>
      </w:r>
    </w:p>
    <w:p w14:paraId="2F67419E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Organisation globale, gouvernance du site, interlocuteurs, outils de pilotage.</w:t>
      </w:r>
    </w:p>
    <w:p w14:paraId="4D188E91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3. Offre de vente au comptoir</w:t>
      </w:r>
    </w:p>
    <w:p w14:paraId="514C79AF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Description détaillée de l’offre alimentaire, boissons, qualité de service et respect des interdictions.</w:t>
      </w:r>
    </w:p>
    <w:p w14:paraId="42821377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4. Vente de presse</w:t>
      </w:r>
    </w:p>
    <w:p w14:paraId="54F9ADC4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Typologie de presse, modalités de vente et mise à disposition gratuite.</w:t>
      </w:r>
    </w:p>
    <w:p w14:paraId="09E2C958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5. Armoires connectées de restauration – 24h/24 – 7j/7</w:t>
      </w:r>
    </w:p>
    <w:p w14:paraId="611259D5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Description technique, offre alimentaire, maintenance, supervision, continuité.</w:t>
      </w:r>
    </w:p>
    <w:p w14:paraId="1090D1C4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6. Distribution automatique</w:t>
      </w:r>
    </w:p>
    <w:p w14:paraId="4EE3AC44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Types de distributeurs, produits autorisés, implantation, maintenance.</w:t>
      </w:r>
    </w:p>
    <w:p w14:paraId="06BBE027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7. Qualité des produits – Hygiène – HACCP</w:t>
      </w:r>
    </w:p>
    <w:p w14:paraId="3ACB3C5F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Organisation HACCP, traçabilité, formation et contrôles.</w:t>
      </w:r>
    </w:p>
    <w:p w14:paraId="5A489981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8. Production locale et circuits courts</w:t>
      </w:r>
    </w:p>
    <w:p w14:paraId="735B199F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Liste des partenaires locaux (≤10 km) et modalités logistiques.</w:t>
      </w:r>
    </w:p>
    <w:p w14:paraId="6C705ADA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9. Engagements environnementaux et sociétaux</w:t>
      </w:r>
    </w:p>
    <w:p w14:paraId="6864AE8C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Actions environnementales, tri des déchets, lutte contre le gaspillage.</w:t>
      </w:r>
    </w:p>
    <w:p w14:paraId="61AE499C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10. Continuité de service et gestion des incidents</w:t>
      </w:r>
    </w:p>
    <w:p w14:paraId="1B6ECF8D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Procédures en cas de panne ou situation dégradée.</w:t>
      </w:r>
    </w:p>
    <w:p w14:paraId="4BAFE561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11. Organisation des ressources humaines</w:t>
      </w:r>
    </w:p>
    <w:p w14:paraId="4A1E3D43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Effectifs, reprise du personnel, organisation RH et formation.</w:t>
      </w:r>
    </w:p>
    <w:p w14:paraId="40BA8556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lastRenderedPageBreak/>
        <w:t>12. Travaux – Aménagement – Mobilier</w:t>
      </w:r>
    </w:p>
    <w:p w14:paraId="608D692C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Travaux envisagés, planning, intégration architecturale, signalétique.</w:t>
      </w:r>
    </w:p>
    <w:p w14:paraId="200216E9" w14:textId="77777777" w:rsidR="00DB10CC" w:rsidRDefault="00DB10CC">
      <w:pPr>
        <w:shd w:val="clear" w:color="auto" w:fill="1F4E79"/>
        <w:jc w:val="center"/>
        <w:rPr>
          <w:kern w:val="2"/>
          <w:lang w:val="fr-FR" w:eastAsia="fr-FR"/>
          <w14:ligatures w14:val="standardContextual"/>
        </w:rPr>
      </w:pPr>
      <w:r w:rsidRPr="00DB10CC">
        <w:rPr>
          <w:b/>
          <w:bCs/>
          <w:color w:val="FFFFFF"/>
          <w:lang w:val="fr-FR"/>
        </w:rPr>
        <w:t>13. Sous-traitants et partenaires</w:t>
      </w:r>
    </w:p>
    <w:p w14:paraId="6557773B" w14:textId="77777777" w:rsidR="00064D49" w:rsidRPr="00DF7AA4" w:rsidRDefault="00270B33">
      <w:pPr>
        <w:rPr>
          <w:lang w:val="fr-FR"/>
        </w:rPr>
      </w:pPr>
      <w:r w:rsidRPr="00DF7AA4">
        <w:rPr>
          <w:lang w:val="fr-FR"/>
        </w:rPr>
        <w:t>Liste indicative des partenaires et rôles.</w:t>
      </w:r>
    </w:p>
    <w:p w14:paraId="19137C1A" w14:textId="7174C29B" w:rsidR="00064D49" w:rsidRPr="00DF7AA4" w:rsidRDefault="00064D49">
      <w:pPr>
        <w:rPr>
          <w:lang w:val="fr-FR"/>
        </w:rPr>
      </w:pPr>
    </w:p>
    <w:sectPr w:rsidR="00064D49" w:rsidRPr="00DF7A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1789222">
    <w:abstractNumId w:val="8"/>
  </w:num>
  <w:num w:numId="2" w16cid:durableId="833032236">
    <w:abstractNumId w:val="6"/>
  </w:num>
  <w:num w:numId="3" w16cid:durableId="1225137295">
    <w:abstractNumId w:val="5"/>
  </w:num>
  <w:num w:numId="4" w16cid:durableId="1655455023">
    <w:abstractNumId w:val="4"/>
  </w:num>
  <w:num w:numId="5" w16cid:durableId="358969704">
    <w:abstractNumId w:val="7"/>
  </w:num>
  <w:num w:numId="6" w16cid:durableId="88621577">
    <w:abstractNumId w:val="3"/>
  </w:num>
  <w:num w:numId="7" w16cid:durableId="1826580598">
    <w:abstractNumId w:val="2"/>
  </w:num>
  <w:num w:numId="8" w16cid:durableId="1645963712">
    <w:abstractNumId w:val="1"/>
  </w:num>
  <w:num w:numId="9" w16cid:durableId="92307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D49"/>
    <w:rsid w:val="0015074B"/>
    <w:rsid w:val="00270B33"/>
    <w:rsid w:val="0029639D"/>
    <w:rsid w:val="00326F90"/>
    <w:rsid w:val="007E5516"/>
    <w:rsid w:val="009D7C9F"/>
    <w:rsid w:val="00AA1D8D"/>
    <w:rsid w:val="00B47730"/>
    <w:rsid w:val="00CB0664"/>
    <w:rsid w:val="00DB10CC"/>
    <w:rsid w:val="00DF7AA4"/>
    <w:rsid w:val="00E852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56AF5"/>
  <w14:defaultImageDpi w14:val="300"/>
  <w15:docId w15:val="{1BE9E344-8E04-4886-A80E-9FF4B6A5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1280</Characters>
  <Application>Microsoft Office Word</Application>
  <DocSecurity>0</DocSecurity>
  <Lines>26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Coulon</cp:lastModifiedBy>
  <cp:revision>3</cp:revision>
  <dcterms:created xsi:type="dcterms:W3CDTF">2026-04-13T08:53:00Z</dcterms:created>
  <dcterms:modified xsi:type="dcterms:W3CDTF">2026-04-13T10:30:00Z</dcterms:modified>
  <cp:category/>
</cp:coreProperties>
</file>